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BF38F15-470D-4D0D-AD83-7E55F0620073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